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AB51B" w14:textId="4DF90EAB" w:rsidR="00791A4E" w:rsidRDefault="00A217FE" w:rsidP="00560F67">
      <w:pPr>
        <w:spacing w:line="276" w:lineRule="auto"/>
        <w:jc w:val="left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MONITORING I BADANIA</w:t>
      </w:r>
    </w:p>
    <w:p w14:paraId="4B936726" w14:textId="3A0E20B8" w:rsidR="00DE4D5D" w:rsidRPr="00813041" w:rsidRDefault="00560F67" w:rsidP="00560F67">
      <w:pPr>
        <w:spacing w:line="276" w:lineRule="auto"/>
        <w:jc w:val="left"/>
        <w:rPr>
          <w:b/>
          <w:bCs/>
        </w:rPr>
      </w:pPr>
      <w:r w:rsidRPr="00813041">
        <w:rPr>
          <w:rFonts w:ascii="Calibri" w:hAnsi="Calibri" w:cs="Calibri"/>
          <w:sz w:val="24"/>
          <w:szCs w:val="24"/>
        </w:rPr>
        <w:t xml:space="preserve">Podsumowanie </w:t>
      </w:r>
      <w:r w:rsidR="00813041"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 w:rsidR="00813041"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r w:rsidR="00813041">
        <w:rPr>
          <w:rFonts w:ascii="Calibri" w:hAnsi="Calibri" w:cs="Calibri"/>
          <w:sz w:val="24"/>
          <w:szCs w:val="24"/>
        </w:rPr>
        <w:t xml:space="preserve">– </w:t>
      </w:r>
      <w:r w:rsidR="00813041" w:rsidRPr="00813041">
        <w:rPr>
          <w:rFonts w:ascii="Calibri" w:hAnsi="Calibri" w:cs="Calibri"/>
          <w:b/>
          <w:bCs/>
          <w:sz w:val="24"/>
          <w:szCs w:val="24"/>
        </w:rPr>
        <w:t>PTAKI LĘGOWE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560F67" w:rsidRPr="00336EE4" w14:paraId="58E20C1D" w14:textId="77777777" w:rsidTr="0099089F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542CE1DF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cstheme="minorHAnsi"/>
              </w:rPr>
              <w:t>Grupa działań</w:t>
            </w:r>
          </w:p>
        </w:tc>
      </w:tr>
      <w:tr w:rsidR="00560F67" w:rsidRPr="00336EE4" w14:paraId="21FA9E10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F7A826" w14:textId="0EA88EE8" w:rsidR="00560F67" w:rsidRPr="00336EE4" w:rsidRDefault="00336EE4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Monitoring i badania</w:t>
            </w:r>
          </w:p>
        </w:tc>
      </w:tr>
      <w:tr w:rsidR="00560F67" w:rsidRPr="00336EE4" w14:paraId="43EF88F8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268E80CA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cstheme="minorHAnsi"/>
              </w:rPr>
              <w:t>Rodzaj działań</w:t>
            </w:r>
          </w:p>
        </w:tc>
      </w:tr>
      <w:tr w:rsidR="00560F67" w:rsidRPr="00336EE4" w14:paraId="0E5BCC1B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576665CA" w14:textId="44061106" w:rsidR="00560F67" w:rsidRPr="00336EE4" w:rsidRDefault="00336EE4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Prowadzenie monitoringu i badań dotyczących ustalenia aktualnego stanu brzegu morskiego i zachodzących zmian w położeniu</w:t>
            </w:r>
          </w:p>
        </w:tc>
      </w:tr>
      <w:tr w:rsidR="00560F67" w:rsidRPr="00336EE4" w14:paraId="63AA34D4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72B1D37D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2B0B5EA5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6E3A99B5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5927B6AE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639809D9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5ABEC576" w14:textId="77777777" w:rsidR="00560F67" w:rsidRPr="00336EE4" w:rsidRDefault="00560F67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336EE4" w:rsidRPr="00336EE4" w14:paraId="4CA12535" w14:textId="77777777" w:rsidTr="0099089F">
        <w:trPr>
          <w:cantSplit/>
          <w:trHeight w:val="397"/>
        </w:trPr>
        <w:tc>
          <w:tcPr>
            <w:tcW w:w="991" w:type="pct"/>
            <w:vAlign w:val="center"/>
          </w:tcPr>
          <w:p w14:paraId="13B9979D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cstheme="minorHAnsi"/>
              </w:rPr>
              <w:t>Ptaki lęgowe</w:t>
            </w:r>
          </w:p>
        </w:tc>
        <w:tc>
          <w:tcPr>
            <w:tcW w:w="943" w:type="pct"/>
            <w:vAlign w:val="center"/>
          </w:tcPr>
          <w:p w14:paraId="51FA1968" w14:textId="0E69AB88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06E63EC0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4A020405" w14:textId="08CBAA65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  <w:r>
              <w:rPr>
                <w:rFonts w:ascii="Calibri" w:hAnsi="Calibri" w:cs="Calibri"/>
              </w:rPr>
              <w:t>;</w:t>
            </w:r>
          </w:p>
          <w:p w14:paraId="4A611D77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eksploatacji:</w:t>
            </w:r>
          </w:p>
          <w:p w14:paraId="5B5749B4" w14:textId="0AB43C6B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3F7E94B6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761BDAAA" w14:textId="08548750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  <w:r>
              <w:rPr>
                <w:rFonts w:ascii="Calibri" w:hAnsi="Calibri" w:cs="Calibri"/>
              </w:rPr>
              <w:t>;</w:t>
            </w:r>
          </w:p>
          <w:p w14:paraId="25A08FB7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</w:t>
            </w:r>
          </w:p>
          <w:p w14:paraId="304AAC67" w14:textId="1BB61EF3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846" w:type="pct"/>
            <w:vAlign w:val="center"/>
          </w:tcPr>
          <w:p w14:paraId="34CDFDFC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5D957EBE" w14:textId="2DD7B865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  <w:r>
              <w:rPr>
                <w:rFonts w:ascii="Calibri" w:hAnsi="Calibri" w:cs="Calibri"/>
              </w:rPr>
              <w:t>;</w:t>
            </w:r>
          </w:p>
          <w:p w14:paraId="4B2C22D4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eksploatacji:</w:t>
            </w:r>
          </w:p>
          <w:p w14:paraId="4EC45C2D" w14:textId="7740F6C1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5E10FC05" w14:textId="12473EDB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nie</w:t>
            </w:r>
          </w:p>
        </w:tc>
      </w:tr>
    </w:tbl>
    <w:p w14:paraId="0DA6B548" w14:textId="484D2178" w:rsidR="00560F67" w:rsidRDefault="00813041">
      <w:bookmarkStart w:id="0" w:name="_Hlk215316982"/>
      <w:r>
        <w:t>P</w:t>
      </w:r>
      <w:r w:rsidRPr="00813041">
        <w:rPr>
          <w:rFonts w:ascii="Calibri" w:hAnsi="Calibri" w:cs="Calibri"/>
          <w:sz w:val="24"/>
          <w:szCs w:val="24"/>
        </w:rPr>
        <w:t xml:space="preserve">odsumowanie </w:t>
      </w:r>
      <w:r>
        <w:rPr>
          <w:rFonts w:ascii="Calibri" w:hAnsi="Calibri" w:cs="Calibri"/>
          <w:sz w:val="24"/>
          <w:szCs w:val="24"/>
        </w:rPr>
        <w:t xml:space="preserve">możliwych </w:t>
      </w:r>
      <w:r w:rsidRPr="00813041">
        <w:rPr>
          <w:rFonts w:ascii="Calibri" w:hAnsi="Calibri" w:cs="Calibri"/>
          <w:sz w:val="24"/>
          <w:szCs w:val="24"/>
        </w:rPr>
        <w:t>oddziaływa</w:t>
      </w:r>
      <w:r>
        <w:rPr>
          <w:rFonts w:ascii="Calibri" w:hAnsi="Calibri" w:cs="Calibri"/>
          <w:sz w:val="24"/>
          <w:szCs w:val="24"/>
        </w:rPr>
        <w:t>ń</w:t>
      </w:r>
      <w:r w:rsidRPr="00813041">
        <w:rPr>
          <w:rFonts w:ascii="Calibri" w:hAnsi="Calibri" w:cs="Calibri"/>
          <w:sz w:val="24"/>
          <w:szCs w:val="24"/>
        </w:rPr>
        <w:t xml:space="preserve"> działań zaplanowanych w proj. POBM </w:t>
      </w:r>
      <w:bookmarkEnd w:id="0"/>
      <w:r>
        <w:rPr>
          <w:rFonts w:ascii="Calibri" w:hAnsi="Calibri" w:cs="Calibri"/>
          <w:sz w:val="24"/>
          <w:szCs w:val="24"/>
        </w:rPr>
        <w:t xml:space="preserve">– </w:t>
      </w:r>
      <w:r w:rsidRPr="00813041">
        <w:rPr>
          <w:rFonts w:ascii="Calibri" w:hAnsi="Calibri" w:cs="Calibri"/>
          <w:b/>
          <w:bCs/>
          <w:sz w:val="24"/>
          <w:szCs w:val="24"/>
        </w:rPr>
        <w:t xml:space="preserve">PTAKI </w:t>
      </w:r>
      <w:r>
        <w:rPr>
          <w:rFonts w:ascii="Calibri" w:hAnsi="Calibri" w:cs="Calibri"/>
          <w:b/>
          <w:bCs/>
          <w:sz w:val="24"/>
          <w:szCs w:val="24"/>
        </w:rPr>
        <w:t>NIE</w:t>
      </w:r>
      <w:r w:rsidRPr="00813041">
        <w:rPr>
          <w:rFonts w:ascii="Calibri" w:hAnsi="Calibri" w:cs="Calibri"/>
          <w:b/>
          <w:bCs/>
          <w:sz w:val="24"/>
          <w:szCs w:val="24"/>
        </w:rPr>
        <w:t>LĘGOWE</w:t>
      </w:r>
      <w:r>
        <w:rPr>
          <w:rFonts w:ascii="Calibri" w:hAnsi="Calibri" w:cs="Calibri"/>
          <w:b/>
          <w:bCs/>
          <w:sz w:val="24"/>
          <w:szCs w:val="24"/>
        </w:rPr>
        <w:t xml:space="preserve"> (MIGRUJĄCE I ZIMUJĄCE)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Podsumowanie przewidywanego oddziaływania Programu na ptaki lęgowe i  nielęgowe w odniesieniu działań związanych z umocnieniami brzegowymi  w części lądowej."/>
        <w:tblDescription w:val="Tabela. Podsumowanie oceny oddziaływania planowanego przedsięwzięcia na ptaki lęgowe i nielęgowe w odniesieniu do remontów, modernizacji, budowy i eksploatacji umocnień brzegowych w części lądowej."/>
      </w:tblPr>
      <w:tblGrid>
        <w:gridCol w:w="2774"/>
        <w:gridCol w:w="2639"/>
        <w:gridCol w:w="1970"/>
        <w:gridCol w:w="1979"/>
        <w:gridCol w:w="2368"/>
        <w:gridCol w:w="2264"/>
      </w:tblGrid>
      <w:tr w:rsidR="00336EE4" w:rsidRPr="0099089F" w14:paraId="5E313C01" w14:textId="77777777" w:rsidTr="00FD6027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BFBFBF" w:themeFill="background1" w:themeFillShade="BF"/>
            <w:vAlign w:val="center"/>
          </w:tcPr>
          <w:p w14:paraId="1ED7F726" w14:textId="3CA462F8" w:rsidR="00336EE4" w:rsidRPr="0099089F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cstheme="minorHAnsi"/>
              </w:rPr>
              <w:t>Grupa działań</w:t>
            </w:r>
          </w:p>
        </w:tc>
      </w:tr>
      <w:tr w:rsidR="00336EE4" w:rsidRPr="0099089F" w14:paraId="6EB918F3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D7CBFB" w14:textId="00864802" w:rsidR="00336EE4" w:rsidRPr="0099089F" w:rsidRDefault="00336EE4" w:rsidP="00336EE4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Monitoring i badania</w:t>
            </w:r>
          </w:p>
        </w:tc>
      </w:tr>
      <w:tr w:rsidR="00336EE4" w:rsidRPr="0099089F" w14:paraId="4BE3E828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4DFF0808" w14:textId="21E57EBF" w:rsidR="00336EE4" w:rsidRPr="0099089F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cstheme="minorHAnsi"/>
              </w:rPr>
              <w:t>Rodzaj działań</w:t>
            </w:r>
          </w:p>
        </w:tc>
      </w:tr>
      <w:tr w:rsidR="00336EE4" w:rsidRPr="0099089F" w14:paraId="2ECC3C35" w14:textId="77777777" w:rsidTr="00336EE4">
        <w:trPr>
          <w:cantSplit/>
          <w:trHeight w:val="397"/>
          <w:tblHeader/>
        </w:trPr>
        <w:tc>
          <w:tcPr>
            <w:tcW w:w="5000" w:type="pct"/>
            <w:gridSpan w:val="6"/>
            <w:shd w:val="clear" w:color="auto" w:fill="92D050"/>
            <w:vAlign w:val="center"/>
          </w:tcPr>
          <w:p w14:paraId="014E2ACA" w14:textId="2B2D89F4" w:rsidR="00336EE4" w:rsidRPr="000001BB" w:rsidRDefault="00336EE4" w:rsidP="00336EE4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336EE4">
              <w:rPr>
                <w:rFonts w:cstheme="minorHAnsi"/>
                <w:b/>
                <w:bCs/>
              </w:rPr>
              <w:t>Prowadzenie monitoringu i badań dotyczących ustalenia aktualnego stanu brzegu morskiego i zachodzących zmian w położeniu</w:t>
            </w:r>
          </w:p>
        </w:tc>
      </w:tr>
      <w:tr w:rsidR="000001BB" w:rsidRPr="0099089F" w14:paraId="1B377AC3" w14:textId="77777777" w:rsidTr="00FD6027">
        <w:trPr>
          <w:cantSplit/>
          <w:trHeight w:val="397"/>
        </w:trPr>
        <w:tc>
          <w:tcPr>
            <w:tcW w:w="991" w:type="pct"/>
            <w:vAlign w:val="center"/>
          </w:tcPr>
          <w:p w14:paraId="6C2E994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Komponent środowiska</w:t>
            </w:r>
          </w:p>
        </w:tc>
        <w:tc>
          <w:tcPr>
            <w:tcW w:w="943" w:type="pct"/>
            <w:vAlign w:val="center"/>
          </w:tcPr>
          <w:p w14:paraId="52BAAD2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Zidentyfikowane oddziaływania</w:t>
            </w:r>
          </w:p>
        </w:tc>
        <w:tc>
          <w:tcPr>
            <w:tcW w:w="704" w:type="pct"/>
            <w:vAlign w:val="center"/>
          </w:tcPr>
          <w:p w14:paraId="5E9121CE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Charakter oddziaływań</w:t>
            </w:r>
          </w:p>
        </w:tc>
        <w:tc>
          <w:tcPr>
            <w:tcW w:w="707" w:type="pct"/>
            <w:vAlign w:val="center"/>
          </w:tcPr>
          <w:p w14:paraId="00CAD2FA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Rodzaj</w:t>
            </w:r>
          </w:p>
        </w:tc>
        <w:tc>
          <w:tcPr>
            <w:tcW w:w="846" w:type="pct"/>
            <w:vAlign w:val="center"/>
          </w:tcPr>
          <w:p w14:paraId="000C6CF5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Czas trwania</w:t>
            </w:r>
          </w:p>
        </w:tc>
        <w:tc>
          <w:tcPr>
            <w:tcW w:w="809" w:type="pct"/>
            <w:vAlign w:val="center"/>
          </w:tcPr>
          <w:p w14:paraId="77BCA5F4" w14:textId="77777777" w:rsidR="000001BB" w:rsidRPr="0099089F" w:rsidRDefault="000001BB" w:rsidP="00FD6027">
            <w:pPr>
              <w:spacing w:before="0" w:after="0" w:line="240" w:lineRule="auto"/>
              <w:jc w:val="left"/>
              <w:rPr>
                <w:rFonts w:cstheme="minorHAnsi"/>
                <w:b/>
                <w:bCs/>
              </w:rPr>
            </w:pPr>
            <w:r w:rsidRPr="0099089F">
              <w:rPr>
                <w:rFonts w:cstheme="minorHAnsi"/>
                <w:b/>
                <w:bCs/>
              </w:rPr>
              <w:t>Możliwe oddziaływania skumulowane</w:t>
            </w:r>
          </w:p>
        </w:tc>
      </w:tr>
      <w:tr w:rsidR="00336EE4" w:rsidRPr="0099089F" w14:paraId="555C9C2F" w14:textId="77777777" w:rsidTr="00533547">
        <w:trPr>
          <w:cantSplit/>
          <w:trHeight w:val="397"/>
        </w:trPr>
        <w:tc>
          <w:tcPr>
            <w:tcW w:w="991" w:type="pct"/>
            <w:vAlign w:val="center"/>
          </w:tcPr>
          <w:p w14:paraId="3A6D54A5" w14:textId="7D38D601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Ptaki nielęgowe (migrujące i zimujące)</w:t>
            </w:r>
          </w:p>
        </w:tc>
        <w:tc>
          <w:tcPr>
            <w:tcW w:w="943" w:type="pct"/>
            <w:vAlign w:val="center"/>
          </w:tcPr>
          <w:p w14:paraId="0F551490" w14:textId="2DC38F35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Płoszenie ptaków</w:t>
            </w:r>
          </w:p>
        </w:tc>
        <w:tc>
          <w:tcPr>
            <w:tcW w:w="704" w:type="pct"/>
            <w:vAlign w:val="center"/>
          </w:tcPr>
          <w:p w14:paraId="4259B10E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05EA46E6" w14:textId="7F78C3A3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negatywne</w:t>
            </w:r>
            <w:r>
              <w:rPr>
                <w:rFonts w:ascii="Calibri" w:hAnsi="Calibri" w:cs="Calibri"/>
              </w:rPr>
              <w:t>;</w:t>
            </w:r>
          </w:p>
          <w:p w14:paraId="07AE8CBF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eksploatacji:</w:t>
            </w:r>
          </w:p>
          <w:p w14:paraId="4E028AE3" w14:textId="4E5A2EC9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707" w:type="pct"/>
            <w:vAlign w:val="center"/>
          </w:tcPr>
          <w:p w14:paraId="74C1C615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48D91781" w14:textId="20144ED2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bezpośrednie</w:t>
            </w:r>
            <w:r>
              <w:rPr>
                <w:rFonts w:ascii="Calibri" w:hAnsi="Calibri" w:cs="Calibri"/>
              </w:rPr>
              <w:t>;</w:t>
            </w:r>
          </w:p>
          <w:p w14:paraId="4B677DB7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</w:t>
            </w:r>
          </w:p>
          <w:p w14:paraId="5297179B" w14:textId="5C4EA4C1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846" w:type="pct"/>
            <w:vAlign w:val="center"/>
          </w:tcPr>
          <w:p w14:paraId="501360B2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realizacji:</w:t>
            </w:r>
          </w:p>
          <w:p w14:paraId="12716BAD" w14:textId="46208CC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chwilowe</w:t>
            </w:r>
            <w:r>
              <w:rPr>
                <w:rFonts w:ascii="Calibri" w:hAnsi="Calibri" w:cs="Calibri"/>
              </w:rPr>
              <w:t>;</w:t>
            </w:r>
          </w:p>
          <w:p w14:paraId="243C8B9D" w14:textId="77777777" w:rsidR="00336EE4" w:rsidRPr="00336EE4" w:rsidRDefault="00336EE4" w:rsidP="00336EE4">
            <w:pPr>
              <w:spacing w:before="0" w:after="0" w:line="240" w:lineRule="auto"/>
              <w:jc w:val="left"/>
              <w:rPr>
                <w:rFonts w:ascii="Calibri" w:hAnsi="Calibri" w:cs="Calibri"/>
              </w:rPr>
            </w:pPr>
            <w:r w:rsidRPr="00336EE4">
              <w:rPr>
                <w:rFonts w:ascii="Calibri" w:hAnsi="Calibri" w:cs="Calibri"/>
              </w:rPr>
              <w:t>etap eksploatacji:</w:t>
            </w:r>
          </w:p>
          <w:p w14:paraId="097179CB" w14:textId="41C4CF9D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brak oddziaływania</w:t>
            </w:r>
          </w:p>
        </w:tc>
        <w:tc>
          <w:tcPr>
            <w:tcW w:w="809" w:type="pct"/>
            <w:vAlign w:val="center"/>
          </w:tcPr>
          <w:p w14:paraId="615A041C" w14:textId="365DA21D" w:rsidR="00336EE4" w:rsidRPr="00336EE4" w:rsidRDefault="00336EE4" w:rsidP="00336EE4">
            <w:pPr>
              <w:spacing w:before="0" w:after="0" w:line="240" w:lineRule="auto"/>
              <w:jc w:val="left"/>
              <w:rPr>
                <w:rFonts w:cstheme="minorHAnsi"/>
              </w:rPr>
            </w:pPr>
            <w:r w:rsidRPr="00336EE4">
              <w:rPr>
                <w:rFonts w:ascii="Calibri" w:hAnsi="Calibri" w:cs="Calibri"/>
              </w:rPr>
              <w:t>nie</w:t>
            </w:r>
          </w:p>
        </w:tc>
      </w:tr>
    </w:tbl>
    <w:p w14:paraId="642BB878" w14:textId="77777777" w:rsidR="00813041" w:rsidRDefault="00813041"/>
    <w:sectPr w:rsidR="00813041" w:rsidSect="00336EE4">
      <w:pgSz w:w="16838" w:h="11906" w:orient="landscape"/>
      <w:pgMar w:top="113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70"/>
    <w:rsid w:val="000001BB"/>
    <w:rsid w:val="00021239"/>
    <w:rsid w:val="00055877"/>
    <w:rsid w:val="000F5220"/>
    <w:rsid w:val="002753DE"/>
    <w:rsid w:val="002C09D3"/>
    <w:rsid w:val="00336EE4"/>
    <w:rsid w:val="00433570"/>
    <w:rsid w:val="004B077E"/>
    <w:rsid w:val="00533547"/>
    <w:rsid w:val="00560F67"/>
    <w:rsid w:val="006650A0"/>
    <w:rsid w:val="00712D8E"/>
    <w:rsid w:val="00791A4E"/>
    <w:rsid w:val="00813041"/>
    <w:rsid w:val="00840F5C"/>
    <w:rsid w:val="008430BD"/>
    <w:rsid w:val="009418D3"/>
    <w:rsid w:val="00950479"/>
    <w:rsid w:val="0099089F"/>
    <w:rsid w:val="00A217FE"/>
    <w:rsid w:val="00A3616A"/>
    <w:rsid w:val="00B82662"/>
    <w:rsid w:val="00BE53D4"/>
    <w:rsid w:val="00C1382F"/>
    <w:rsid w:val="00CB7F7E"/>
    <w:rsid w:val="00D91E1A"/>
    <w:rsid w:val="00DE4D5D"/>
    <w:rsid w:val="00E060C3"/>
    <w:rsid w:val="00E8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E3701"/>
  <w15:chartTrackingRefBased/>
  <w15:docId w15:val="{A2F753A0-420A-49A0-AF29-1632FD97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rzyrodnicy24"/>
    <w:qFormat/>
    <w:rsid w:val="00560F67"/>
    <w:pPr>
      <w:spacing w:before="240" w:after="240" w:line="360" w:lineRule="auto"/>
      <w:jc w:val="both"/>
    </w:pPr>
    <w:rPr>
      <w:rFonts w:eastAsiaTheme="minorEastAsia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337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E53D4"/>
    <w:pPr>
      <w:keepNext/>
      <w:keepLines/>
      <w:spacing w:before="40" w:after="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370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370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370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370"/>
    <w:pPr>
      <w:keepNext/>
      <w:keepLines/>
      <w:spacing w:before="0"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aliases w:val="Spis treści 1KB"/>
    <w:basedOn w:val="Normalny"/>
    <w:next w:val="Normalny"/>
    <w:autoRedefine/>
    <w:uiPriority w:val="39"/>
    <w:unhideWhenUsed/>
    <w:qFormat/>
    <w:rsid w:val="00B82662"/>
    <w:pPr>
      <w:spacing w:before="200" w:after="0" w:line="276" w:lineRule="auto"/>
      <w:jc w:val="left"/>
    </w:pPr>
    <w:rPr>
      <w:color w:val="44546A" w:themeColor="text2"/>
      <w:kern w:val="2"/>
      <w:sz w:val="26"/>
      <w:szCs w:val="20"/>
      <w:lang w:eastAsia="ja-JP" w:bidi="pl-PL"/>
      <w14:ligatures w14:val="standardContextual"/>
    </w:rPr>
  </w:style>
  <w:style w:type="paragraph" w:customStyle="1" w:styleId="Styl1">
    <w:name w:val="Styl1"/>
    <w:basedOn w:val="Spistreci1"/>
    <w:link w:val="Styl1Znak"/>
    <w:qFormat/>
    <w:rsid w:val="00BE53D4"/>
    <w:pPr>
      <w:tabs>
        <w:tab w:val="left" w:pos="440"/>
        <w:tab w:val="right" w:leader="dot" w:pos="9062"/>
      </w:tabs>
      <w:spacing w:after="240"/>
    </w:pPr>
    <w:rPr>
      <w:rFonts w:ascii="Arial" w:eastAsia="Times New Roman" w:hAnsi="Arial" w:cs="Arial"/>
      <w:noProof/>
      <w:color w:val="2F5496" w:themeColor="accent1" w:themeShade="BF"/>
      <w:sz w:val="28"/>
    </w:rPr>
  </w:style>
  <w:style w:type="character" w:customStyle="1" w:styleId="Styl1Znak">
    <w:name w:val="Styl1 Znak"/>
    <w:basedOn w:val="Domylnaczcionkaakapitu"/>
    <w:link w:val="Styl1"/>
    <w:rsid w:val="00BE53D4"/>
    <w:rPr>
      <w:rFonts w:ascii="Arial" w:eastAsia="Times New Roman" w:hAnsi="Arial" w:cs="Arial"/>
      <w:noProof/>
      <w:color w:val="2F5496" w:themeColor="accent1" w:themeShade="BF"/>
      <w:sz w:val="28"/>
      <w:szCs w:val="20"/>
      <w:lang w:eastAsia="ja-JP" w:bidi="pl-PL"/>
    </w:rPr>
  </w:style>
  <w:style w:type="paragraph" w:customStyle="1" w:styleId="Styl2">
    <w:name w:val="Styl2"/>
    <w:basedOn w:val="Nagwek2"/>
    <w:link w:val="Styl2Znak"/>
    <w:qFormat/>
    <w:rsid w:val="00BE53D4"/>
    <w:rPr>
      <w:rFonts w:ascii="Arial" w:hAnsi="Arial"/>
      <w:i/>
      <w:sz w:val="24"/>
    </w:rPr>
  </w:style>
  <w:style w:type="character" w:customStyle="1" w:styleId="Styl2Znak">
    <w:name w:val="Styl2 Znak"/>
    <w:basedOn w:val="Nagwek2Znak"/>
    <w:link w:val="Styl2"/>
    <w:rsid w:val="00BE53D4"/>
    <w:rPr>
      <w:rFonts w:ascii="Arial" w:eastAsiaTheme="majorEastAsia" w:hAnsi="Arial" w:cstheme="majorBidi"/>
      <w:i/>
      <w:color w:val="2F5496" w:themeColor="accent1" w:themeShade="BF"/>
      <w:sz w:val="24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E53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Tabelanagwek">
    <w:name w:val="Tabela_nagłówek"/>
    <w:basedOn w:val="Normalny"/>
    <w:link w:val="TabelanagwekZnak"/>
    <w:autoRedefine/>
    <w:qFormat/>
    <w:rsid w:val="00A3616A"/>
    <w:pPr>
      <w:framePr w:hSpace="141" w:wrap="around" w:vAnchor="text" w:hAnchor="text" w:y="1"/>
      <w:spacing w:before="100" w:beforeAutospacing="1" w:after="0"/>
      <w:suppressOverlap/>
      <w:jc w:val="center"/>
    </w:pPr>
    <w:rPr>
      <w:rFonts w:cstheme="majorHAnsi"/>
      <w:b/>
      <w:kern w:val="2"/>
      <w:sz w:val="20"/>
      <w:szCs w:val="20"/>
      <w14:ligatures w14:val="standardContextual"/>
    </w:rPr>
  </w:style>
  <w:style w:type="character" w:customStyle="1" w:styleId="TabelanagwekZnak">
    <w:name w:val="Tabela_nagłówek Znak"/>
    <w:basedOn w:val="Domylnaczcionkaakapitu"/>
    <w:link w:val="Tabelanagwek"/>
    <w:rsid w:val="00A3616A"/>
    <w:rPr>
      <w:rFonts w:eastAsiaTheme="minorEastAsia" w:cstheme="majorHAnsi"/>
      <w:b/>
      <w:sz w:val="20"/>
      <w:szCs w:val="20"/>
    </w:rPr>
  </w:style>
  <w:style w:type="paragraph" w:customStyle="1" w:styleId="Tytuakapitu">
    <w:name w:val="Tytuł akapitu"/>
    <w:basedOn w:val="Normalny"/>
    <w:link w:val="TytuakapituZnak"/>
    <w:qFormat/>
    <w:rsid w:val="009418D3"/>
    <w:pPr>
      <w:suppressAutoHyphens/>
      <w:spacing w:before="0" w:after="160" w:line="240" w:lineRule="auto"/>
    </w:pPr>
    <w:rPr>
      <w:rFonts w:eastAsiaTheme="minorHAnsi"/>
      <w:b/>
      <w:bCs/>
      <w:color w:val="18608A"/>
      <w:kern w:val="2"/>
      <w14:ligatures w14:val="standardContextual"/>
    </w:rPr>
  </w:style>
  <w:style w:type="character" w:customStyle="1" w:styleId="TytuakapituZnak">
    <w:name w:val="Tytuł akapitu Znak"/>
    <w:basedOn w:val="Domylnaczcionkaakapitu"/>
    <w:link w:val="Tytuakapitu"/>
    <w:rsid w:val="009418D3"/>
    <w:rPr>
      <w:b/>
      <w:bCs/>
      <w:color w:val="18608A"/>
    </w:rPr>
  </w:style>
  <w:style w:type="character" w:customStyle="1" w:styleId="Nagwek1Znak">
    <w:name w:val="Nagłówek 1 Znak"/>
    <w:basedOn w:val="Domylnaczcionkaakapitu"/>
    <w:link w:val="Nagwek1"/>
    <w:uiPriority w:val="9"/>
    <w:rsid w:val="00E8337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37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37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37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37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37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37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37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370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833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370"/>
    <w:pPr>
      <w:numPr>
        <w:ilvl w:val="1"/>
      </w:numPr>
      <w:spacing w:before="0"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833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370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8337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3370"/>
    <w:pPr>
      <w:spacing w:before="0" w:after="160" w:line="259" w:lineRule="auto"/>
      <w:ind w:left="720"/>
      <w:contextualSpacing/>
      <w:jc w:val="left"/>
    </w:pPr>
    <w:rPr>
      <w:rFonts w:eastAsiaTheme="minorHAns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8337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37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37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370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F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0F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0F67"/>
    <w:rPr>
      <w:rFonts w:eastAsiaTheme="minorEastAsia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560F6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6E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6EE4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Banaszak</dc:creator>
  <cp:keywords/>
  <dc:description/>
  <cp:lastModifiedBy>Katarzyna Banaszak</cp:lastModifiedBy>
  <cp:revision>11</cp:revision>
  <dcterms:created xsi:type="dcterms:W3CDTF">2025-11-29T12:35:00Z</dcterms:created>
  <dcterms:modified xsi:type="dcterms:W3CDTF">2026-01-03T17:52:00Z</dcterms:modified>
</cp:coreProperties>
</file>